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86" w:rsidRPr="00020186" w:rsidRDefault="00020186" w:rsidP="00020186">
      <w:pPr>
        <w:shd w:val="clear" w:color="auto" w:fill="FFF8DC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bookmarkStart w:id="0" w:name="_GoBack"/>
      <w:bookmarkEnd w:id="0"/>
      <w:r w:rsidRPr="0002018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020186" w:rsidRPr="001258ED" w:rsidRDefault="00020186" w:rsidP="00020186">
      <w:pPr>
        <w:shd w:val="clear" w:color="auto" w:fill="FFF8DC"/>
        <w:spacing w:before="30" w:after="30" w:line="240" w:lineRule="auto"/>
        <w:ind w:firstLine="709"/>
        <w:jc w:val="center"/>
        <w:rPr>
          <w:rFonts w:ascii="Verdana" w:eastAsia="Times New Roman" w:hAnsi="Verdana" w:cs="Times New Roman"/>
          <w:color w:val="0D0D0D" w:themeColor="text1" w:themeTint="F2"/>
          <w:sz w:val="20"/>
          <w:szCs w:val="20"/>
          <w:lang w:eastAsia="ru-RU"/>
        </w:rPr>
      </w:pPr>
      <w:r w:rsidRPr="001258E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  <w:t>ПАМЯТКА ДЛЯ ГРАЖДАН ПО ПРОТИВОДЕЙСТВИЮ КОРРУПЦИИ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firstLine="709"/>
        <w:jc w:val="center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  <w:t> 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firstLine="709"/>
        <w:jc w:val="center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  <w:t> 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proofErr w:type="gramStart"/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>Коррупция 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 xml:space="preserve"> лицами и совершение таких деяний от имени или в интересах юридического лица (Федеральный закон от 25 декабря 2008 г. № 273-ФЗ «О противодействии коррупции»).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>Характерным признаком коррупции является конфликт между действиями должностного лица и интересами его работодателя либо конфликт между действиями выборного лица и интересами общества. Многие виды коррупции аналогичны мошенничеству, совершаемому должностным лицом, и относятся к категории преступлений против государственной власти.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b/>
          <w:bCs/>
          <w:color w:val="596471"/>
          <w:sz w:val="27"/>
          <w:szCs w:val="27"/>
          <w:lang w:eastAsia="ru-RU"/>
        </w:rPr>
        <w:t>ЧТО ТАКОЕ ВЗЯТКА?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 xml:space="preserve">Уголовный кодекс Российской Федерации предусматривает два вида преступлений, связанных </w:t>
      </w:r>
      <w:proofErr w:type="gramStart"/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>со</w:t>
      </w:r>
      <w:proofErr w:type="gramEnd"/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 xml:space="preserve"> взяткой: получение взятки (статья  290 Уголовного кодекса РФ) и дача взятки (статья 291 Уголовного кодекса РФ).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>Это две стороны одной преступной медали: если речь идет о взятке, это значит, что есть тот, кто получает взятку, и тот, кто ее дает.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b/>
          <w:bCs/>
          <w:color w:val="596471"/>
          <w:sz w:val="27"/>
          <w:szCs w:val="27"/>
          <w:lang w:eastAsia="ru-RU"/>
        </w:rPr>
        <w:t>ЧТО ТАКОЕ ПОДКУП?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proofErr w:type="gramStart"/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>Взятка лицу, выполняющему управленческие функции в коммерческих и некоммерческих предприятиях и организациях –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 д. – в Уголовном кодексе Российской Федерации именуется коммерческим подкупом (статья 204 УК РФ).</w:t>
      </w:r>
      <w:proofErr w:type="gramEnd"/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b/>
          <w:bCs/>
          <w:color w:val="596471"/>
          <w:sz w:val="27"/>
          <w:szCs w:val="27"/>
          <w:lang w:eastAsia="ru-RU"/>
        </w:rPr>
        <w:t>ВЗЯТКОЙ МОГУТ БЫТЬ: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proofErr w:type="gramStart"/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>Предметы – деньги, в том числе валюта, банковские чеки,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  <w:proofErr w:type="gramEnd"/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br/>
        <w:t xml:space="preserve">Услуги и выгоды – лечение, ремонтные и строительные работы, санаторные и туристические путевки, поездки за границу, оплата </w:t>
      </w:r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lastRenderedPageBreak/>
        <w:t>развлечений и других расходов безвозмездно или по заниженной стоимости.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proofErr w:type="gramStart"/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 xml:space="preserve">Завуалированная форма взятки – банковская ссуда в долг или под видом </w:t>
      </w:r>
      <w:proofErr w:type="spellStart"/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>погаше-ния</w:t>
      </w:r>
      <w:proofErr w:type="spellEnd"/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 xml:space="preserve">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 или друзьям, получение льготного кредита, завышение гонорара за лекции, статьи и книги, преднамеренный проигрыш в карты, «случайный» выигрыш в казино, прощение долга, уменьшение арендной платы, увеличение</w:t>
      </w:r>
      <w:proofErr w:type="gramEnd"/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 xml:space="preserve"> процентных ставок по кредиту и т. д.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b/>
          <w:bCs/>
          <w:color w:val="596471"/>
          <w:sz w:val="27"/>
          <w:szCs w:val="27"/>
          <w:lang w:eastAsia="ru-RU"/>
        </w:rPr>
        <w:t>СКЛОНЕНИЕ ГОСУДАРСТВЕННЫХ СЛУЖАЩИХ К СОВЕРШЕНИЮ КОРРУПЦИОННЫХ ПРАВОНАРУШЕНИЙ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>Государственный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 является служебной обязанностью государственного служащего.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>Невыполнение государственным служащим служебной такой обязанности является правонарушением, влекущим его увольнение с государственной службы либо привлечение его к иным видам ответственности.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b/>
          <w:bCs/>
          <w:color w:val="596471"/>
          <w:sz w:val="27"/>
          <w:szCs w:val="27"/>
          <w:lang w:eastAsia="ru-RU"/>
        </w:rPr>
        <w:t>ДЕЙСТВИЯ В СЛУЧАЕ ВЫМОГАТЕЛЬСТВА ИЛИ ПРОВОКАЦИИ ВЗЯТКИ (ПОДКУПА)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>·             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подкуп;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>·             внимательно выслушать и точно запомнить поставленные условия (размеры сумм, наименование товара и характер услуг, сроки и способы передачи взятки, форма коммерческого подкупа, последовательность решения вопросов);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>·             постараться перенести вопрос о времени и месте передачи взятки до следующей беседы или, если это невозможно, предложить хорошо знакомое место для следующей встречи;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>·             поинтересоваться у собеседника о гарантиях решения вопроса в случае дачи взятки или совершения подкупа;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 xml:space="preserve">·             не берите инициативу в разговоре на себя, больше «работайте на приём», </w:t>
      </w:r>
      <w:proofErr w:type="spellStart"/>
      <w:proofErr w:type="gramStart"/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>по-зволяйте</w:t>
      </w:r>
      <w:proofErr w:type="spellEnd"/>
      <w:proofErr w:type="gramEnd"/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 xml:space="preserve"> потенциальному взяткополучателю «выговориться», сообщить как можно больше информации.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b/>
          <w:bCs/>
          <w:color w:val="596471"/>
          <w:sz w:val="27"/>
          <w:szCs w:val="27"/>
          <w:lang w:eastAsia="ru-RU"/>
        </w:rPr>
        <w:t>ЧТО СЛЕДУЕТ ПРЕДПРИНЯТЬ СРАЗУ ПОСЛЕ СВЕРШИВШЕГОСЯ ФАКТА ВЫМОГАТЕЛЬСТВА?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lastRenderedPageBreak/>
        <w:t>Необходимо принять решение согласно своей гражданской позиции, своим нравственным принципам, совести и жизненному опыту. В связи с этим возникнет два варианта действий: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>Первый вариант – прекратить всяческие контакты с вымогателем, дать понять ему об отказе пойти на преступление и смириться с тем, что нужный вопрос не будет решен, а вымогатель будет и дальше безнаказанно измываться над людьми, окружать себя сообщниками и коррупционными связями.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>Второй вариант – встать на путь сопротивления взяточникам и вымогателям, исходя из честного понимания, что только всем миром можно одолеть это зло, что человек должен в любых ситуациях сохранять свое достоинство и не становиться пособником преступления.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>Если избирается второй вариант, то следует: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>- по своему усмотрению обратиться с устным или письменным сообщением о готовящемся преступлении в один из правоохранительных органов по месту жительства или в их вышестоящие органы:</w:t>
      </w:r>
    </w:p>
    <w:p w:rsidR="00020186" w:rsidRPr="00020186" w:rsidRDefault="00020186" w:rsidP="00020186">
      <w:pPr>
        <w:shd w:val="clear" w:color="auto" w:fill="FFF8DC"/>
        <w:spacing w:before="30" w:after="30" w:line="240" w:lineRule="auto"/>
        <w:ind w:left="600" w:firstLine="709"/>
        <w:jc w:val="both"/>
        <w:rPr>
          <w:rFonts w:ascii="Verdana" w:eastAsia="Times New Roman" w:hAnsi="Verdana" w:cs="Times New Roman"/>
          <w:color w:val="596471"/>
          <w:sz w:val="20"/>
          <w:szCs w:val="20"/>
          <w:lang w:eastAsia="ru-RU"/>
        </w:rPr>
      </w:pPr>
      <w:proofErr w:type="gramStart"/>
      <w:r w:rsidRPr="00020186">
        <w:rPr>
          <w:rFonts w:ascii="Times New Roman" w:eastAsia="Times New Roman" w:hAnsi="Times New Roman" w:cs="Times New Roman"/>
          <w:color w:val="596471"/>
          <w:sz w:val="27"/>
          <w:szCs w:val="27"/>
          <w:lang w:eastAsia="ru-RU"/>
        </w:rPr>
        <w:t>- в органы внутренних дел – в районные (городские) отделения (отделы) милиции, управления (отделы) по борьбе с экономическими преступлениями, управления (отделы) по борьбе с организованной преступностью, в Министерство внутренних дел</w:t>
      </w:r>
      <w:proofErr w:type="gramEnd"/>
    </w:p>
    <w:p w:rsidR="00024500" w:rsidRDefault="00024500"/>
    <w:sectPr w:rsidR="0002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86"/>
    <w:rsid w:val="00020186"/>
    <w:rsid w:val="00024500"/>
    <w:rsid w:val="000B6E53"/>
    <w:rsid w:val="001258ED"/>
    <w:rsid w:val="002C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Calipso</dc:creator>
  <cp:lastModifiedBy>Calipso</cp:lastModifiedBy>
  <cp:revision>5</cp:revision>
  <cp:lastPrinted>2020-05-06T06:56:00Z</cp:lastPrinted>
  <dcterms:created xsi:type="dcterms:W3CDTF">2020-04-09T06:46:00Z</dcterms:created>
  <dcterms:modified xsi:type="dcterms:W3CDTF">2020-05-06T08:31:00Z</dcterms:modified>
</cp:coreProperties>
</file>